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B25EF">
        <w:trPr>
          <w:trHeight w:hRule="exact" w:val="152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5543" w:type="dxa"/>
            <w:gridSpan w:val="4"/>
            <w:shd w:val="clear" w:color="000000" w:fill="FFFFFF"/>
            <w:tcMar>
              <w:left w:w="34" w:type="dxa"/>
              <w:right w:w="34" w:type="dxa"/>
            </w:tcMar>
          </w:tcPr>
          <w:p w:rsidR="009B25EF" w:rsidRDefault="002C67ED">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9B25EF">
        <w:trPr>
          <w:trHeight w:hRule="exact" w:val="13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585"/>
        </w:trPr>
        <w:tc>
          <w:tcPr>
            <w:tcW w:w="10221" w:type="dxa"/>
            <w:gridSpan w:val="10"/>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B25EF" w:rsidRDefault="002C67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B25EF">
        <w:trPr>
          <w:trHeight w:hRule="exact" w:val="314"/>
        </w:trPr>
        <w:tc>
          <w:tcPr>
            <w:tcW w:w="10221" w:type="dxa"/>
            <w:gridSpan w:val="10"/>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B25EF">
        <w:trPr>
          <w:trHeight w:hRule="exact" w:val="211"/>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3842"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УТВЕРЖДАЮ</w:t>
            </w:r>
          </w:p>
        </w:tc>
      </w:tr>
      <w:tr w:rsidR="009B25EF">
        <w:trPr>
          <w:trHeight w:hRule="exact" w:val="13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3842"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B25EF">
        <w:trPr>
          <w:trHeight w:hRule="exact" w:val="13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3842" w:type="dxa"/>
            <w:gridSpan w:val="2"/>
            <w:shd w:val="clear" w:color="000000" w:fill="FFFFFF"/>
            <w:tcMar>
              <w:left w:w="34" w:type="dxa"/>
              <w:right w:w="34" w:type="dxa"/>
            </w:tcMar>
          </w:tcPr>
          <w:p w:rsidR="009B25EF" w:rsidRDefault="002C67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B25EF">
        <w:trPr>
          <w:trHeight w:hRule="exact" w:val="13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3842" w:type="dxa"/>
            <w:gridSpan w:val="2"/>
            <w:shd w:val="clear" w:color="000000" w:fill="FFFFFF"/>
            <w:tcMar>
              <w:left w:w="34" w:type="dxa"/>
              <w:right w:w="34" w:type="dxa"/>
            </w:tcMar>
          </w:tcPr>
          <w:p w:rsidR="009B25EF" w:rsidRDefault="002C67ED">
            <w:pPr>
              <w:spacing w:after="0" w:line="240" w:lineRule="auto"/>
              <w:jc w:val="right"/>
              <w:rPr>
                <w:sz w:val="24"/>
                <w:szCs w:val="24"/>
              </w:rPr>
            </w:pPr>
            <w:r>
              <w:rPr>
                <w:rFonts w:ascii="Times New Roman" w:hAnsi="Times New Roman" w:cs="Times New Roman"/>
                <w:color w:val="000000"/>
                <w:sz w:val="24"/>
                <w:szCs w:val="24"/>
              </w:rPr>
              <w:t>30.08.2021 г.</w:t>
            </w:r>
          </w:p>
        </w:tc>
      </w:tr>
      <w:tr w:rsidR="009B25EF">
        <w:trPr>
          <w:trHeight w:hRule="exact" w:val="2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416"/>
        </w:trPr>
        <w:tc>
          <w:tcPr>
            <w:tcW w:w="10221" w:type="dxa"/>
            <w:gridSpan w:val="10"/>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B25EF">
        <w:trPr>
          <w:trHeight w:hRule="exact" w:val="1135"/>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4834" w:type="dxa"/>
            <w:gridSpan w:val="5"/>
            <w:shd w:val="clear" w:color="000000" w:fill="FFFFFF"/>
            <w:tcMar>
              <w:left w:w="34" w:type="dxa"/>
              <w:right w:w="34" w:type="dxa"/>
            </w:tcMar>
          </w:tcPr>
          <w:p w:rsidR="009B25EF" w:rsidRDefault="002C67ED">
            <w:pPr>
              <w:spacing w:after="0" w:line="240" w:lineRule="auto"/>
              <w:jc w:val="center"/>
              <w:rPr>
                <w:sz w:val="32"/>
                <w:szCs w:val="32"/>
              </w:rPr>
            </w:pPr>
            <w:r>
              <w:rPr>
                <w:rFonts w:ascii="Times New Roman" w:hAnsi="Times New Roman" w:cs="Times New Roman"/>
                <w:color w:val="000000"/>
                <w:sz w:val="32"/>
                <w:szCs w:val="32"/>
              </w:rPr>
              <w:t>Инвестиции и управление инвестиционным портфелем</w:t>
            </w:r>
          </w:p>
          <w:p w:rsidR="009B25EF" w:rsidRDefault="002C67ED">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9B25EF" w:rsidRDefault="009B25EF"/>
        </w:tc>
      </w:tr>
      <w:tr w:rsidR="009B25EF">
        <w:trPr>
          <w:trHeight w:hRule="exact" w:val="277"/>
        </w:trPr>
        <w:tc>
          <w:tcPr>
            <w:tcW w:w="10221" w:type="dxa"/>
            <w:gridSpan w:val="10"/>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B25EF">
        <w:trPr>
          <w:trHeight w:hRule="exact" w:val="1389"/>
        </w:trPr>
        <w:tc>
          <w:tcPr>
            <w:tcW w:w="143" w:type="dxa"/>
          </w:tcPr>
          <w:p w:rsidR="009B25EF" w:rsidRDefault="009B25EF"/>
        </w:tc>
        <w:tc>
          <w:tcPr>
            <w:tcW w:w="285" w:type="dxa"/>
          </w:tcPr>
          <w:p w:rsidR="009B25EF" w:rsidRDefault="009B25EF"/>
        </w:tc>
        <w:tc>
          <w:tcPr>
            <w:tcW w:w="9795" w:type="dxa"/>
            <w:gridSpan w:val="8"/>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B25EF" w:rsidRDefault="002C67E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9B25EF" w:rsidRDefault="002C67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B25EF">
        <w:trPr>
          <w:trHeight w:hRule="exact" w:val="13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833"/>
        </w:trPr>
        <w:tc>
          <w:tcPr>
            <w:tcW w:w="10221" w:type="dxa"/>
            <w:gridSpan w:val="10"/>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9B25EF">
        <w:trPr>
          <w:trHeight w:hRule="exact" w:val="416"/>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3984" w:type="dxa"/>
            <w:gridSpan w:val="5"/>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155"/>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ФИНАНСЫ И ЭКОНОМИКА</w:t>
            </w:r>
          </w:p>
        </w:tc>
      </w:tr>
      <w:tr w:rsidR="009B25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9B25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25EF" w:rsidRDefault="009B25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r>
      <w:tr w:rsidR="009B25E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БИЗНЕС-АНАЛИТИК</w:t>
            </w:r>
          </w:p>
        </w:tc>
      </w:tr>
      <w:tr w:rsidR="009B25E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9B25EF" w:rsidRDefault="009B25E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r>
      <w:tr w:rsidR="009B25EF">
        <w:trPr>
          <w:trHeight w:hRule="exact" w:val="124"/>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5118" w:type="dxa"/>
            <w:gridSpan w:val="7"/>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B25EF">
        <w:trPr>
          <w:trHeight w:hRule="exact" w:val="577"/>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5118" w:type="dxa"/>
            <w:gridSpan w:val="3"/>
            <w:vMerge/>
            <w:shd w:val="clear" w:color="000000" w:fill="FFFFFF"/>
            <w:tcMar>
              <w:left w:w="34" w:type="dxa"/>
              <w:right w:w="34" w:type="dxa"/>
            </w:tcMar>
          </w:tcPr>
          <w:p w:rsidR="009B25EF" w:rsidRDefault="009B25EF"/>
        </w:tc>
      </w:tr>
      <w:tr w:rsidR="009B25EF">
        <w:trPr>
          <w:trHeight w:hRule="exact" w:val="1768"/>
        </w:trPr>
        <w:tc>
          <w:tcPr>
            <w:tcW w:w="143" w:type="dxa"/>
          </w:tcPr>
          <w:p w:rsidR="009B25EF" w:rsidRDefault="009B25EF"/>
        </w:tc>
        <w:tc>
          <w:tcPr>
            <w:tcW w:w="285" w:type="dxa"/>
          </w:tcPr>
          <w:p w:rsidR="009B25EF" w:rsidRDefault="009B25EF"/>
        </w:tc>
        <w:tc>
          <w:tcPr>
            <w:tcW w:w="710" w:type="dxa"/>
          </w:tcPr>
          <w:p w:rsidR="009B25EF" w:rsidRDefault="009B25EF"/>
        </w:tc>
        <w:tc>
          <w:tcPr>
            <w:tcW w:w="1419" w:type="dxa"/>
          </w:tcPr>
          <w:p w:rsidR="009B25EF" w:rsidRDefault="009B25EF"/>
        </w:tc>
        <w:tc>
          <w:tcPr>
            <w:tcW w:w="1419" w:type="dxa"/>
          </w:tcPr>
          <w:p w:rsidR="009B25EF" w:rsidRDefault="009B25EF"/>
        </w:tc>
        <w:tc>
          <w:tcPr>
            <w:tcW w:w="710" w:type="dxa"/>
          </w:tcPr>
          <w:p w:rsidR="009B25EF" w:rsidRDefault="009B25EF"/>
        </w:tc>
        <w:tc>
          <w:tcPr>
            <w:tcW w:w="426" w:type="dxa"/>
          </w:tcPr>
          <w:p w:rsidR="009B25EF" w:rsidRDefault="009B25EF"/>
        </w:tc>
        <w:tc>
          <w:tcPr>
            <w:tcW w:w="1277" w:type="dxa"/>
          </w:tcPr>
          <w:p w:rsidR="009B25EF" w:rsidRDefault="009B25EF"/>
        </w:tc>
        <w:tc>
          <w:tcPr>
            <w:tcW w:w="993" w:type="dxa"/>
          </w:tcPr>
          <w:p w:rsidR="009B25EF" w:rsidRDefault="009B25EF"/>
        </w:tc>
        <w:tc>
          <w:tcPr>
            <w:tcW w:w="2836" w:type="dxa"/>
          </w:tcPr>
          <w:p w:rsidR="009B25EF" w:rsidRDefault="009B25EF"/>
        </w:tc>
      </w:tr>
      <w:tr w:rsidR="009B25EF">
        <w:trPr>
          <w:trHeight w:hRule="exact" w:val="277"/>
        </w:trPr>
        <w:tc>
          <w:tcPr>
            <w:tcW w:w="143" w:type="dxa"/>
          </w:tcPr>
          <w:p w:rsidR="009B25EF" w:rsidRDefault="009B25EF"/>
        </w:tc>
        <w:tc>
          <w:tcPr>
            <w:tcW w:w="10079" w:type="dxa"/>
            <w:gridSpan w:val="9"/>
            <w:vMerge w:val="restart"/>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B25EF">
        <w:trPr>
          <w:trHeight w:hRule="exact" w:val="138"/>
        </w:trPr>
        <w:tc>
          <w:tcPr>
            <w:tcW w:w="143" w:type="dxa"/>
          </w:tcPr>
          <w:p w:rsidR="009B25EF" w:rsidRDefault="009B25EF"/>
        </w:tc>
        <w:tc>
          <w:tcPr>
            <w:tcW w:w="10079" w:type="dxa"/>
            <w:gridSpan w:val="9"/>
            <w:vMerge/>
            <w:shd w:val="clear" w:color="000000" w:fill="FFFFFF"/>
            <w:tcMar>
              <w:left w:w="34" w:type="dxa"/>
              <w:right w:w="34" w:type="dxa"/>
            </w:tcMar>
          </w:tcPr>
          <w:p w:rsidR="009B25EF" w:rsidRDefault="009B25EF"/>
        </w:tc>
      </w:tr>
      <w:tr w:rsidR="009B25EF">
        <w:trPr>
          <w:trHeight w:hRule="exact" w:val="1666"/>
        </w:trPr>
        <w:tc>
          <w:tcPr>
            <w:tcW w:w="143" w:type="dxa"/>
          </w:tcPr>
          <w:p w:rsidR="009B25EF" w:rsidRDefault="009B25EF"/>
        </w:tc>
        <w:tc>
          <w:tcPr>
            <w:tcW w:w="10079" w:type="dxa"/>
            <w:gridSpan w:val="9"/>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B25EF" w:rsidRDefault="009B25EF">
            <w:pPr>
              <w:spacing w:after="0" w:line="240" w:lineRule="auto"/>
              <w:jc w:val="center"/>
              <w:rPr>
                <w:sz w:val="24"/>
                <w:szCs w:val="24"/>
              </w:rPr>
            </w:pPr>
          </w:p>
          <w:p w:rsidR="009B25EF" w:rsidRDefault="002C67E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B25EF" w:rsidRDefault="009B25EF">
            <w:pPr>
              <w:spacing w:after="0" w:line="240" w:lineRule="auto"/>
              <w:jc w:val="center"/>
              <w:rPr>
                <w:sz w:val="24"/>
                <w:szCs w:val="24"/>
              </w:rPr>
            </w:pPr>
          </w:p>
          <w:p w:rsidR="009B25EF" w:rsidRDefault="002C67ED">
            <w:pPr>
              <w:spacing w:after="0" w:line="240" w:lineRule="auto"/>
              <w:jc w:val="center"/>
              <w:rPr>
                <w:sz w:val="24"/>
                <w:szCs w:val="24"/>
              </w:rPr>
            </w:pPr>
            <w:r>
              <w:rPr>
                <w:rFonts w:ascii="Times New Roman" w:hAnsi="Times New Roman" w:cs="Times New Roman"/>
                <w:color w:val="000000"/>
                <w:sz w:val="24"/>
                <w:szCs w:val="24"/>
              </w:rPr>
              <w:t>Омск, 2021</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B25EF">
        <w:trPr>
          <w:trHeight w:hRule="exact" w:val="2222"/>
        </w:trPr>
        <w:tc>
          <w:tcPr>
            <w:tcW w:w="10788"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lastRenderedPageBreak/>
              <w:t>Составитель:</w:t>
            </w:r>
          </w:p>
          <w:p w:rsidR="009B25EF" w:rsidRDefault="009B25EF">
            <w:pPr>
              <w:spacing w:after="0" w:line="240" w:lineRule="auto"/>
              <w:rPr>
                <w:sz w:val="24"/>
                <w:szCs w:val="24"/>
              </w:rPr>
            </w:pPr>
          </w:p>
          <w:p w:rsidR="009B25EF" w:rsidRDefault="002C67ED">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9B25EF" w:rsidRDefault="009B25EF">
            <w:pPr>
              <w:spacing w:after="0" w:line="240" w:lineRule="auto"/>
              <w:rPr>
                <w:sz w:val="24"/>
                <w:szCs w:val="24"/>
              </w:rPr>
            </w:pPr>
          </w:p>
          <w:p w:rsidR="009B25EF" w:rsidRDefault="002C67E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B25EF" w:rsidRDefault="002C67ED">
            <w:pPr>
              <w:spacing w:after="0" w:line="240" w:lineRule="auto"/>
              <w:rPr>
                <w:sz w:val="24"/>
                <w:szCs w:val="24"/>
              </w:rPr>
            </w:pPr>
            <w:r>
              <w:rPr>
                <w:rFonts w:ascii="Times New Roman" w:hAnsi="Times New Roman" w:cs="Times New Roman"/>
                <w:color w:val="000000"/>
                <w:sz w:val="24"/>
                <w:szCs w:val="24"/>
              </w:rPr>
              <w:t>Протокол от 30.08.2021 г.  №1</w:t>
            </w:r>
          </w:p>
        </w:tc>
      </w:tr>
      <w:tr w:rsidR="009B25EF">
        <w:trPr>
          <w:trHeight w:hRule="exact" w:val="277"/>
        </w:trPr>
        <w:tc>
          <w:tcPr>
            <w:tcW w:w="10788"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277"/>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B25EF">
        <w:trPr>
          <w:trHeight w:hRule="exact" w:val="555"/>
        </w:trPr>
        <w:tc>
          <w:tcPr>
            <w:tcW w:w="9640" w:type="dxa"/>
          </w:tcPr>
          <w:p w:rsidR="009B25EF" w:rsidRDefault="009B25EF"/>
        </w:tc>
      </w:tr>
      <w:tr w:rsidR="009B25EF">
        <w:trPr>
          <w:trHeight w:hRule="exact" w:val="8751"/>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B25EF" w:rsidRDefault="002C67E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B25EF" w:rsidRDefault="002C67E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B25EF" w:rsidRDefault="002C67E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B25EF" w:rsidRDefault="002C67E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25EF" w:rsidRDefault="002C67E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B25EF" w:rsidRDefault="002C67E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B25EF" w:rsidRDefault="002C67E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B25EF" w:rsidRDefault="002C67E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B25EF" w:rsidRDefault="002C67E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B25EF" w:rsidRDefault="002C67E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B25EF" w:rsidRDefault="002C67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277"/>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B25EF">
        <w:trPr>
          <w:trHeight w:hRule="exact" w:val="14619"/>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B25EF" w:rsidRDefault="002C67E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B25EF" w:rsidRDefault="002C67E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B25EF" w:rsidRDefault="002C67E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B25EF" w:rsidRDefault="002C67E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9B25EF" w:rsidRDefault="002C67E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2021/2022 учебного года:</w:t>
            </w:r>
          </w:p>
          <w:p w:rsidR="009B25EF" w:rsidRDefault="002C67E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B25EF">
        <w:trPr>
          <w:trHeight w:hRule="exact" w:val="138"/>
        </w:trPr>
        <w:tc>
          <w:tcPr>
            <w:tcW w:w="9640" w:type="dxa"/>
          </w:tcPr>
          <w:p w:rsidR="009B25EF" w:rsidRDefault="009B25EF"/>
        </w:tc>
      </w:tr>
      <w:tr w:rsidR="009B25EF">
        <w:trPr>
          <w:trHeight w:hRule="exact" w:val="35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1. Наименование дисциплины: К.М.01.ДВ.01.01 «Инвестиции и управление</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112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lastRenderedPageBreak/>
              <w:t>инвестиционным портфелем».</w:t>
            </w:r>
          </w:p>
          <w:p w:rsidR="009B25EF" w:rsidRDefault="002C67E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B25EF">
        <w:trPr>
          <w:trHeight w:hRule="exact" w:val="138"/>
        </w:trPr>
        <w:tc>
          <w:tcPr>
            <w:tcW w:w="9640" w:type="dxa"/>
          </w:tcPr>
          <w:p w:rsidR="009B25EF" w:rsidRDefault="009B25EF"/>
        </w:tc>
      </w:tr>
      <w:tr w:rsidR="009B25EF">
        <w:trPr>
          <w:trHeight w:hRule="exact" w:val="3530"/>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B25EF" w:rsidRDefault="002C67E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Код компетенции: ПК-1</w:t>
            </w:r>
          </w:p>
          <w:p w:rsidR="009B25EF" w:rsidRDefault="002C67ED">
            <w:pPr>
              <w:spacing w:after="0" w:line="240" w:lineRule="auto"/>
              <w:rPr>
                <w:sz w:val="24"/>
                <w:szCs w:val="24"/>
              </w:rPr>
            </w:pPr>
            <w:r>
              <w:rPr>
                <w:rFonts w:ascii="Times New Roman" w:hAnsi="Times New Roman" w:cs="Times New Roman"/>
                <w:b/>
                <w:color w:val="000000"/>
                <w:sz w:val="24"/>
                <w:szCs w:val="24"/>
              </w:rPr>
              <w:t>Способен  определятль стоимость организации</w:t>
            </w:r>
          </w:p>
        </w:tc>
      </w:tr>
      <w:tr w:rsidR="009B25EF">
        <w:trPr>
          <w:trHeight w:hRule="exact" w:val="585"/>
        </w:trPr>
        <w:tc>
          <w:tcPr>
            <w:tcW w:w="9654" w:type="dxa"/>
            <w:shd w:val="clear" w:color="000000" w:fill="FFFFFF"/>
            <w:tcMar>
              <w:left w:w="34" w:type="dxa"/>
              <w:right w:w="34" w:type="dxa"/>
            </w:tcMar>
          </w:tcPr>
          <w:p w:rsidR="009B25EF" w:rsidRDefault="009B25EF">
            <w:pPr>
              <w:spacing w:after="0" w:line="240" w:lineRule="auto"/>
              <w:rPr>
                <w:sz w:val="24"/>
                <w:szCs w:val="24"/>
              </w:rPr>
            </w:pPr>
          </w:p>
          <w:p w:rsidR="009B25EF" w:rsidRDefault="002C67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B2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ПК-1.4 знать порядок установления ценообразующих факторов и выявления качественных характеристик, влияющих на стоимость организаций</w:t>
            </w:r>
          </w:p>
        </w:tc>
      </w:tr>
      <w:tr w:rsidR="009B2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ПК-1.6 знать методы организации работ по определению стоимостей организаций</w:t>
            </w:r>
          </w:p>
        </w:tc>
      </w:tr>
      <w:tr w:rsidR="009B2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ПК-1.8 знать особенности рынка организаций</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ПК-1.11 уметь структурировать и хранить документы, получаемые от заказчика и третьих лиц в ходе определения стоимостей</w:t>
            </w:r>
          </w:p>
        </w:tc>
      </w:tr>
      <w:tr w:rsidR="009B25E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rsidR="009B25E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ПК-1.17 уметь пользоваться источниками информации, выявлять и отображать ценообразующие факторы организаций</w:t>
            </w:r>
          </w:p>
        </w:tc>
      </w:tr>
      <w:tr w:rsidR="009B25E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ПК-1.24 владеть навыками изучение рынка организаций</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ПК-1.26 владеть навыками выбора методов и подходов для определения стоимостей организаций</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ПК-1.27 владеть навыками привлечения отраслевых экспертов для проведения исследований, требующих специальных знаний</w:t>
            </w:r>
          </w:p>
        </w:tc>
      </w:tr>
      <w:tr w:rsidR="009B25E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ПК-1.28 владеть навыками анализа информации об организации и совокупности прав на нее</w:t>
            </w:r>
          </w:p>
        </w:tc>
      </w:tr>
      <w:tr w:rsidR="009B25EF">
        <w:trPr>
          <w:trHeight w:hRule="exact" w:val="416"/>
        </w:trPr>
        <w:tc>
          <w:tcPr>
            <w:tcW w:w="9640" w:type="dxa"/>
          </w:tcPr>
          <w:p w:rsidR="009B25EF" w:rsidRDefault="009B25EF"/>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B25EF">
        <w:trPr>
          <w:trHeight w:hRule="exact" w:val="1413"/>
        </w:trPr>
        <w:tc>
          <w:tcPr>
            <w:tcW w:w="9654" w:type="dxa"/>
            <w:shd w:val="clear" w:color="000000" w:fill="FFFFFF"/>
            <w:tcMar>
              <w:left w:w="34" w:type="dxa"/>
              <w:right w:w="34" w:type="dxa"/>
            </w:tcMar>
          </w:tcPr>
          <w:p w:rsidR="009B25EF" w:rsidRDefault="009B25EF">
            <w:pPr>
              <w:spacing w:after="0" w:line="240" w:lineRule="auto"/>
              <w:jc w:val="both"/>
              <w:rPr>
                <w:sz w:val="24"/>
                <w:szCs w:val="24"/>
              </w:rPr>
            </w:pPr>
          </w:p>
          <w:p w:rsidR="009B25EF" w:rsidRDefault="002C67ED">
            <w:pPr>
              <w:spacing w:after="0" w:line="240" w:lineRule="auto"/>
              <w:jc w:val="both"/>
              <w:rPr>
                <w:sz w:val="24"/>
                <w:szCs w:val="24"/>
              </w:rPr>
            </w:pPr>
            <w:r>
              <w:rPr>
                <w:rFonts w:ascii="Times New Roman" w:hAnsi="Times New Roman" w:cs="Times New Roman"/>
                <w:color w:val="000000"/>
                <w:sz w:val="24"/>
                <w:szCs w:val="24"/>
              </w:rPr>
              <w:t>Дисциплина К.М.01.ДВ.01.01 «Инвестиции и управление инвестиционным портфелем» относится к обязательной части, является дисциплиной Блока &lt;не удалось определить&gt;. «&lt;не удалось определить&gt;». Модуль "Определение стоимости организации основной профессиональной образовательной программы высшего образования - бакалавриат по</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B25EF">
        <w:trPr>
          <w:trHeight w:hRule="exact" w:val="285"/>
        </w:trPr>
        <w:tc>
          <w:tcPr>
            <w:tcW w:w="9654" w:type="dxa"/>
            <w:gridSpan w:val="7"/>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38.03.01 Экономика.</w:t>
            </w:r>
          </w:p>
        </w:tc>
      </w:tr>
      <w:tr w:rsidR="009B25EF">
        <w:trPr>
          <w:trHeight w:hRule="exact" w:val="138"/>
        </w:trPr>
        <w:tc>
          <w:tcPr>
            <w:tcW w:w="3970" w:type="dxa"/>
          </w:tcPr>
          <w:p w:rsidR="009B25EF" w:rsidRDefault="009B25EF"/>
        </w:tc>
        <w:tc>
          <w:tcPr>
            <w:tcW w:w="1702" w:type="dxa"/>
          </w:tcPr>
          <w:p w:rsidR="009B25EF" w:rsidRDefault="009B25EF"/>
        </w:tc>
        <w:tc>
          <w:tcPr>
            <w:tcW w:w="1702" w:type="dxa"/>
          </w:tcPr>
          <w:p w:rsidR="009B25EF" w:rsidRDefault="009B25EF"/>
        </w:tc>
        <w:tc>
          <w:tcPr>
            <w:tcW w:w="426" w:type="dxa"/>
          </w:tcPr>
          <w:p w:rsidR="009B25EF" w:rsidRDefault="009B25EF"/>
        </w:tc>
        <w:tc>
          <w:tcPr>
            <w:tcW w:w="710" w:type="dxa"/>
          </w:tcPr>
          <w:p w:rsidR="009B25EF" w:rsidRDefault="009B25EF"/>
        </w:tc>
        <w:tc>
          <w:tcPr>
            <w:tcW w:w="143" w:type="dxa"/>
          </w:tcPr>
          <w:p w:rsidR="009B25EF" w:rsidRDefault="009B25EF"/>
        </w:tc>
        <w:tc>
          <w:tcPr>
            <w:tcW w:w="993" w:type="dxa"/>
          </w:tcPr>
          <w:p w:rsidR="009B25EF" w:rsidRDefault="009B25EF"/>
        </w:tc>
      </w:tr>
      <w:tr w:rsidR="009B25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Коды</w:t>
            </w:r>
          </w:p>
          <w:p w:rsidR="009B25EF" w:rsidRDefault="002C67ED">
            <w:pPr>
              <w:spacing w:after="0" w:line="240" w:lineRule="auto"/>
              <w:jc w:val="center"/>
              <w:rPr>
                <w:sz w:val="24"/>
                <w:szCs w:val="24"/>
              </w:rPr>
            </w:pPr>
            <w:r>
              <w:rPr>
                <w:rFonts w:ascii="Times New Roman" w:hAnsi="Times New Roman" w:cs="Times New Roman"/>
                <w:color w:val="000000"/>
                <w:sz w:val="24"/>
                <w:szCs w:val="24"/>
              </w:rPr>
              <w:t>форми-</w:t>
            </w:r>
          </w:p>
          <w:p w:rsidR="009B25EF" w:rsidRDefault="002C67ED">
            <w:pPr>
              <w:spacing w:after="0" w:line="240" w:lineRule="auto"/>
              <w:jc w:val="center"/>
              <w:rPr>
                <w:sz w:val="24"/>
                <w:szCs w:val="24"/>
              </w:rPr>
            </w:pPr>
            <w:r>
              <w:rPr>
                <w:rFonts w:ascii="Times New Roman" w:hAnsi="Times New Roman" w:cs="Times New Roman"/>
                <w:color w:val="000000"/>
                <w:sz w:val="24"/>
                <w:szCs w:val="24"/>
              </w:rPr>
              <w:t>руемых</w:t>
            </w:r>
          </w:p>
          <w:p w:rsidR="009B25EF" w:rsidRDefault="002C67ED">
            <w:pPr>
              <w:spacing w:after="0" w:line="240" w:lineRule="auto"/>
              <w:jc w:val="center"/>
              <w:rPr>
                <w:sz w:val="24"/>
                <w:szCs w:val="24"/>
              </w:rPr>
            </w:pPr>
            <w:r>
              <w:rPr>
                <w:rFonts w:ascii="Times New Roman" w:hAnsi="Times New Roman" w:cs="Times New Roman"/>
                <w:color w:val="000000"/>
                <w:sz w:val="24"/>
                <w:szCs w:val="24"/>
              </w:rPr>
              <w:t>компе-</w:t>
            </w:r>
          </w:p>
          <w:p w:rsidR="009B25EF" w:rsidRDefault="002C67ED">
            <w:pPr>
              <w:spacing w:after="0" w:line="240" w:lineRule="auto"/>
              <w:jc w:val="center"/>
              <w:rPr>
                <w:sz w:val="24"/>
                <w:szCs w:val="24"/>
              </w:rPr>
            </w:pPr>
            <w:r>
              <w:rPr>
                <w:rFonts w:ascii="Times New Roman" w:hAnsi="Times New Roman" w:cs="Times New Roman"/>
                <w:color w:val="000000"/>
                <w:sz w:val="24"/>
                <w:szCs w:val="24"/>
              </w:rPr>
              <w:t>тенций</w:t>
            </w:r>
          </w:p>
        </w:tc>
      </w:tr>
      <w:tr w:rsidR="009B25E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9B25EF"/>
        </w:tc>
      </w:tr>
      <w:tr w:rsidR="009B25E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9B25EF"/>
        </w:tc>
      </w:tr>
      <w:tr w:rsidR="009B25E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pPr>
            <w:r>
              <w:rPr>
                <w:rFonts w:ascii="Times New Roman" w:hAnsi="Times New Roman" w:cs="Times New Roman"/>
                <w:color w:val="000000"/>
              </w:rPr>
              <w:t>Оценка стоимости  ценных бумаг</w:t>
            </w:r>
          </w:p>
          <w:p w:rsidR="009B25EF" w:rsidRDefault="002C67ED">
            <w:pPr>
              <w:spacing w:after="0" w:line="240" w:lineRule="auto"/>
              <w:jc w:val="center"/>
            </w:pPr>
            <w:r>
              <w:rPr>
                <w:rFonts w:ascii="Times New Roman" w:hAnsi="Times New Roman" w:cs="Times New Roman"/>
                <w:color w:val="000000"/>
              </w:rPr>
              <w:t>Бизнес-планирование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pPr>
            <w:r>
              <w:rPr>
                <w:rFonts w:ascii="Times New Roman" w:hAnsi="Times New Roman" w:cs="Times New Roman"/>
                <w:color w:val="000000"/>
              </w:rPr>
              <w:t>Оценка стоимости кредитных и некредитных финансовых организаций</w:t>
            </w:r>
          </w:p>
          <w:p w:rsidR="009B25EF" w:rsidRDefault="002C67ED">
            <w:pPr>
              <w:spacing w:after="0" w:line="240" w:lineRule="auto"/>
              <w:jc w:val="center"/>
            </w:pPr>
            <w:r>
              <w:rPr>
                <w:rFonts w:ascii="Times New Roman" w:hAnsi="Times New Roman" w:cs="Times New Roman"/>
                <w:color w:val="000000"/>
              </w:rPr>
              <w:t>Управление проектами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ПК-1</w:t>
            </w:r>
          </w:p>
        </w:tc>
      </w:tr>
      <w:tr w:rsidR="009B25EF">
        <w:trPr>
          <w:trHeight w:hRule="exact" w:val="138"/>
        </w:trPr>
        <w:tc>
          <w:tcPr>
            <w:tcW w:w="3970" w:type="dxa"/>
          </w:tcPr>
          <w:p w:rsidR="009B25EF" w:rsidRDefault="009B25EF"/>
        </w:tc>
        <w:tc>
          <w:tcPr>
            <w:tcW w:w="1702" w:type="dxa"/>
          </w:tcPr>
          <w:p w:rsidR="009B25EF" w:rsidRDefault="009B25EF"/>
        </w:tc>
        <w:tc>
          <w:tcPr>
            <w:tcW w:w="1702" w:type="dxa"/>
          </w:tcPr>
          <w:p w:rsidR="009B25EF" w:rsidRDefault="009B25EF"/>
        </w:tc>
        <w:tc>
          <w:tcPr>
            <w:tcW w:w="426" w:type="dxa"/>
          </w:tcPr>
          <w:p w:rsidR="009B25EF" w:rsidRDefault="009B25EF"/>
        </w:tc>
        <w:tc>
          <w:tcPr>
            <w:tcW w:w="710" w:type="dxa"/>
          </w:tcPr>
          <w:p w:rsidR="009B25EF" w:rsidRDefault="009B25EF"/>
        </w:tc>
        <w:tc>
          <w:tcPr>
            <w:tcW w:w="143" w:type="dxa"/>
          </w:tcPr>
          <w:p w:rsidR="009B25EF" w:rsidRDefault="009B25EF"/>
        </w:tc>
        <w:tc>
          <w:tcPr>
            <w:tcW w:w="993" w:type="dxa"/>
          </w:tcPr>
          <w:p w:rsidR="009B25EF" w:rsidRDefault="009B25EF"/>
        </w:tc>
      </w:tr>
      <w:tr w:rsidR="009B25EF">
        <w:trPr>
          <w:trHeight w:hRule="exact" w:val="1125"/>
        </w:trPr>
        <w:tc>
          <w:tcPr>
            <w:tcW w:w="9654" w:type="dxa"/>
            <w:gridSpan w:val="7"/>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B25EF">
        <w:trPr>
          <w:trHeight w:hRule="exact" w:val="585"/>
        </w:trPr>
        <w:tc>
          <w:tcPr>
            <w:tcW w:w="9654" w:type="dxa"/>
            <w:gridSpan w:val="7"/>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B25EF" w:rsidRDefault="002C67ED">
            <w:pPr>
              <w:spacing w:after="0" w:line="240" w:lineRule="auto"/>
              <w:jc w:val="center"/>
              <w:rPr>
                <w:sz w:val="24"/>
                <w:szCs w:val="24"/>
              </w:rPr>
            </w:pPr>
            <w:r>
              <w:rPr>
                <w:rFonts w:ascii="Times New Roman" w:hAnsi="Times New Roman" w:cs="Times New Roman"/>
                <w:color w:val="000000"/>
                <w:sz w:val="24"/>
                <w:szCs w:val="24"/>
              </w:rPr>
              <w:t>Из них:</w:t>
            </w:r>
          </w:p>
        </w:tc>
      </w:tr>
      <w:tr w:rsidR="009B25EF">
        <w:trPr>
          <w:trHeight w:hRule="exact" w:val="138"/>
        </w:trPr>
        <w:tc>
          <w:tcPr>
            <w:tcW w:w="3970" w:type="dxa"/>
          </w:tcPr>
          <w:p w:rsidR="009B25EF" w:rsidRDefault="009B25EF"/>
        </w:tc>
        <w:tc>
          <w:tcPr>
            <w:tcW w:w="1702" w:type="dxa"/>
          </w:tcPr>
          <w:p w:rsidR="009B25EF" w:rsidRDefault="009B25EF"/>
        </w:tc>
        <w:tc>
          <w:tcPr>
            <w:tcW w:w="1702" w:type="dxa"/>
          </w:tcPr>
          <w:p w:rsidR="009B25EF" w:rsidRDefault="009B25EF"/>
        </w:tc>
        <w:tc>
          <w:tcPr>
            <w:tcW w:w="426" w:type="dxa"/>
          </w:tcPr>
          <w:p w:rsidR="009B25EF" w:rsidRDefault="009B25EF"/>
        </w:tc>
        <w:tc>
          <w:tcPr>
            <w:tcW w:w="710" w:type="dxa"/>
          </w:tcPr>
          <w:p w:rsidR="009B25EF" w:rsidRDefault="009B25EF"/>
        </w:tc>
        <w:tc>
          <w:tcPr>
            <w:tcW w:w="143" w:type="dxa"/>
          </w:tcPr>
          <w:p w:rsidR="009B25EF" w:rsidRDefault="009B25EF"/>
        </w:tc>
        <w:tc>
          <w:tcPr>
            <w:tcW w:w="993" w:type="dxa"/>
          </w:tcPr>
          <w:p w:rsidR="009B25EF" w:rsidRDefault="009B25EF"/>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54</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18</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0</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0</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36</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54</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0</w:t>
            </w:r>
          </w:p>
        </w:tc>
      </w:tr>
      <w:tr w:rsidR="009B25E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зачеты 5</w:t>
            </w:r>
          </w:p>
        </w:tc>
      </w:tr>
      <w:tr w:rsidR="009B25EF">
        <w:trPr>
          <w:trHeight w:hRule="exact" w:val="138"/>
        </w:trPr>
        <w:tc>
          <w:tcPr>
            <w:tcW w:w="3970" w:type="dxa"/>
          </w:tcPr>
          <w:p w:rsidR="009B25EF" w:rsidRDefault="009B25EF"/>
        </w:tc>
        <w:tc>
          <w:tcPr>
            <w:tcW w:w="1702" w:type="dxa"/>
          </w:tcPr>
          <w:p w:rsidR="009B25EF" w:rsidRDefault="009B25EF"/>
        </w:tc>
        <w:tc>
          <w:tcPr>
            <w:tcW w:w="1702" w:type="dxa"/>
          </w:tcPr>
          <w:p w:rsidR="009B25EF" w:rsidRDefault="009B25EF"/>
        </w:tc>
        <w:tc>
          <w:tcPr>
            <w:tcW w:w="426" w:type="dxa"/>
          </w:tcPr>
          <w:p w:rsidR="009B25EF" w:rsidRDefault="009B25EF"/>
        </w:tc>
        <w:tc>
          <w:tcPr>
            <w:tcW w:w="710" w:type="dxa"/>
          </w:tcPr>
          <w:p w:rsidR="009B25EF" w:rsidRDefault="009B25EF"/>
        </w:tc>
        <w:tc>
          <w:tcPr>
            <w:tcW w:w="143" w:type="dxa"/>
          </w:tcPr>
          <w:p w:rsidR="009B25EF" w:rsidRDefault="009B25EF"/>
        </w:tc>
        <w:tc>
          <w:tcPr>
            <w:tcW w:w="993" w:type="dxa"/>
          </w:tcPr>
          <w:p w:rsidR="009B25EF" w:rsidRDefault="009B25EF"/>
        </w:tc>
      </w:tr>
      <w:tr w:rsidR="009B25EF">
        <w:trPr>
          <w:trHeight w:hRule="exact" w:val="1666"/>
        </w:trPr>
        <w:tc>
          <w:tcPr>
            <w:tcW w:w="9654" w:type="dxa"/>
            <w:gridSpan w:val="7"/>
            <w:shd w:val="clear" w:color="000000" w:fill="FFFFFF"/>
            <w:tcMar>
              <w:left w:w="34" w:type="dxa"/>
              <w:right w:w="34" w:type="dxa"/>
            </w:tcMar>
          </w:tcPr>
          <w:p w:rsidR="009B25EF" w:rsidRDefault="009B25EF">
            <w:pPr>
              <w:spacing w:after="0" w:line="240" w:lineRule="auto"/>
              <w:jc w:val="center"/>
              <w:rPr>
                <w:sz w:val="24"/>
                <w:szCs w:val="24"/>
              </w:rPr>
            </w:pPr>
          </w:p>
          <w:p w:rsidR="009B25EF" w:rsidRDefault="002C67E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B25EF" w:rsidRDefault="009B25EF">
            <w:pPr>
              <w:spacing w:after="0" w:line="240" w:lineRule="auto"/>
              <w:jc w:val="center"/>
              <w:rPr>
                <w:sz w:val="24"/>
                <w:szCs w:val="24"/>
              </w:rPr>
            </w:pPr>
          </w:p>
          <w:p w:rsidR="009B25EF" w:rsidRDefault="002C67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B25EF">
        <w:trPr>
          <w:trHeight w:hRule="exact" w:val="416"/>
        </w:trPr>
        <w:tc>
          <w:tcPr>
            <w:tcW w:w="3970" w:type="dxa"/>
          </w:tcPr>
          <w:p w:rsidR="009B25EF" w:rsidRDefault="009B25EF"/>
        </w:tc>
        <w:tc>
          <w:tcPr>
            <w:tcW w:w="1702" w:type="dxa"/>
          </w:tcPr>
          <w:p w:rsidR="009B25EF" w:rsidRDefault="009B25EF"/>
        </w:tc>
        <w:tc>
          <w:tcPr>
            <w:tcW w:w="1702" w:type="dxa"/>
          </w:tcPr>
          <w:p w:rsidR="009B25EF" w:rsidRDefault="009B25EF"/>
        </w:tc>
        <w:tc>
          <w:tcPr>
            <w:tcW w:w="426" w:type="dxa"/>
          </w:tcPr>
          <w:p w:rsidR="009B25EF" w:rsidRDefault="009B25EF"/>
        </w:tc>
        <w:tc>
          <w:tcPr>
            <w:tcW w:w="710" w:type="dxa"/>
          </w:tcPr>
          <w:p w:rsidR="009B25EF" w:rsidRDefault="009B25EF"/>
        </w:tc>
        <w:tc>
          <w:tcPr>
            <w:tcW w:w="143" w:type="dxa"/>
          </w:tcPr>
          <w:p w:rsidR="009B25EF" w:rsidRDefault="009B25EF"/>
        </w:tc>
        <w:tc>
          <w:tcPr>
            <w:tcW w:w="993" w:type="dxa"/>
          </w:tcPr>
          <w:p w:rsidR="009B25EF" w:rsidRDefault="009B25EF"/>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B25EF" w:rsidRDefault="002C67ED">
            <w:pPr>
              <w:spacing w:after="0" w:line="240" w:lineRule="auto"/>
              <w:jc w:val="center"/>
              <w:rPr>
                <w:sz w:val="24"/>
                <w:szCs w:val="24"/>
              </w:rPr>
            </w:pPr>
            <w:r>
              <w:rPr>
                <w:rFonts w:ascii="Times New Roman" w:hAnsi="Times New Roman" w:cs="Times New Roman"/>
                <w:color w:val="000000"/>
                <w:sz w:val="24"/>
                <w:szCs w:val="24"/>
              </w:rPr>
              <w:t>Часов</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r>
      <w:tr w:rsidR="009B25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B25EF" w:rsidRDefault="009B25EF"/>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2</w:t>
            </w:r>
          </w:p>
        </w:tc>
      </w:tr>
      <w:tr w:rsidR="009B25E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54</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B2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lastRenderedPageBreak/>
              <w:t>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4</w:t>
            </w:r>
          </w:p>
        </w:tc>
      </w:tr>
      <w:tr w:rsidR="009B25E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0</w:t>
            </w:r>
          </w:p>
        </w:tc>
      </w:tr>
      <w:tr w:rsidR="009B25E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9B25E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color w:val="000000"/>
                <w:sz w:val="24"/>
                <w:szCs w:val="24"/>
              </w:rPr>
              <w:t>108</w:t>
            </w:r>
          </w:p>
        </w:tc>
      </w:tr>
      <w:tr w:rsidR="009B25EF">
        <w:trPr>
          <w:trHeight w:hRule="exact" w:val="13310"/>
        </w:trPr>
        <w:tc>
          <w:tcPr>
            <w:tcW w:w="9654" w:type="dxa"/>
            <w:gridSpan w:val="4"/>
            <w:shd w:val="clear" w:color="000000" w:fill="FFFFFF"/>
            <w:tcMar>
              <w:left w:w="34" w:type="dxa"/>
              <w:right w:w="34" w:type="dxa"/>
            </w:tcMar>
          </w:tcPr>
          <w:p w:rsidR="009B25EF" w:rsidRDefault="009B25EF">
            <w:pPr>
              <w:spacing w:after="0" w:line="240" w:lineRule="auto"/>
              <w:jc w:val="both"/>
              <w:rPr>
                <w:sz w:val="20"/>
                <w:szCs w:val="20"/>
              </w:rPr>
            </w:pPr>
          </w:p>
          <w:p w:rsidR="009B25EF" w:rsidRDefault="002C67ED">
            <w:pPr>
              <w:spacing w:after="0" w:line="240" w:lineRule="auto"/>
              <w:jc w:val="both"/>
              <w:rPr>
                <w:sz w:val="20"/>
                <w:szCs w:val="20"/>
              </w:rPr>
            </w:pPr>
            <w:r>
              <w:rPr>
                <w:rFonts w:ascii="Times New Roman" w:hAnsi="Times New Roman" w:cs="Times New Roman"/>
                <w:color w:val="000000"/>
                <w:sz w:val="20"/>
                <w:szCs w:val="20"/>
              </w:rPr>
              <w:t>* Примечания:</w:t>
            </w:r>
          </w:p>
          <w:p w:rsidR="009B25EF" w:rsidRDefault="002C67E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B25EF" w:rsidRDefault="002C6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B25EF" w:rsidRDefault="002C67E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B25EF" w:rsidRDefault="002C67E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B25EF" w:rsidRDefault="002C67E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B25EF" w:rsidRDefault="002C6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4522"/>
        </w:trPr>
        <w:tc>
          <w:tcPr>
            <w:tcW w:w="9654" w:type="dxa"/>
            <w:shd w:val="clear" w:color="000000" w:fill="FFFFFF"/>
            <w:tcMar>
              <w:left w:w="34" w:type="dxa"/>
              <w:right w:w="34" w:type="dxa"/>
            </w:tcMar>
          </w:tcPr>
          <w:p w:rsidR="009B25EF" w:rsidRDefault="002C67ED">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9B25EF" w:rsidRDefault="002C67E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B25EF" w:rsidRDefault="002C67E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B25EF">
        <w:trPr>
          <w:trHeight w:hRule="exact" w:val="585"/>
        </w:trPr>
        <w:tc>
          <w:tcPr>
            <w:tcW w:w="9654" w:type="dxa"/>
            <w:shd w:val="clear" w:color="000000" w:fill="FFFFFF"/>
            <w:tcMar>
              <w:left w:w="34" w:type="dxa"/>
              <w:right w:w="34" w:type="dxa"/>
            </w:tcMar>
          </w:tcPr>
          <w:p w:rsidR="009B25EF" w:rsidRDefault="009B25EF">
            <w:pPr>
              <w:spacing w:after="0" w:line="240" w:lineRule="auto"/>
              <w:rPr>
                <w:sz w:val="24"/>
                <w:szCs w:val="24"/>
              </w:rPr>
            </w:pPr>
          </w:p>
          <w:p w:rsidR="009B25EF" w:rsidRDefault="002C67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B25EF">
        <w:trPr>
          <w:trHeight w:hRule="exact" w:val="277"/>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B25EF">
        <w:trPr>
          <w:trHeight w:hRule="exact" w:val="26"/>
        </w:trPr>
        <w:tc>
          <w:tcPr>
            <w:tcW w:w="9654" w:type="dxa"/>
            <w:vMerge w:val="restart"/>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Инвестиции, их классификация и экономическое содержание</w:t>
            </w:r>
          </w:p>
        </w:tc>
      </w:tr>
      <w:tr w:rsidR="009B25EF">
        <w:trPr>
          <w:trHeight w:hRule="exact" w:val="277"/>
        </w:trPr>
        <w:tc>
          <w:tcPr>
            <w:tcW w:w="9654" w:type="dxa"/>
            <w:vMerge/>
            <w:shd w:val="clear" w:color="000000" w:fill="FFFFFF"/>
            <w:tcMar>
              <w:left w:w="34" w:type="dxa"/>
              <w:right w:w="34" w:type="dxa"/>
            </w:tcMar>
          </w:tcPr>
          <w:p w:rsidR="009B25EF" w:rsidRDefault="009B25EF"/>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Понятие инвестиций</w:t>
            </w:r>
          </w:p>
          <w:p w:rsidR="009B25EF" w:rsidRDefault="002C67ED">
            <w:pPr>
              <w:spacing w:after="0" w:line="240" w:lineRule="auto"/>
              <w:jc w:val="both"/>
              <w:rPr>
                <w:sz w:val="24"/>
                <w:szCs w:val="24"/>
              </w:rPr>
            </w:pPr>
            <w:r>
              <w:rPr>
                <w:rFonts w:ascii="Times New Roman" w:hAnsi="Times New Roman" w:cs="Times New Roman"/>
                <w:color w:val="000000"/>
                <w:sz w:val="24"/>
                <w:szCs w:val="24"/>
              </w:rPr>
              <w:t>Классификация инвестиций</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Государственная инвестиционная политика</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Инвестиционная политика</w:t>
            </w:r>
          </w:p>
          <w:p w:rsidR="009B25EF" w:rsidRDefault="002C67ED">
            <w:pPr>
              <w:spacing w:after="0" w:line="240" w:lineRule="auto"/>
              <w:jc w:val="both"/>
              <w:rPr>
                <w:sz w:val="24"/>
                <w:szCs w:val="24"/>
              </w:rPr>
            </w:pPr>
            <w:r>
              <w:rPr>
                <w:rFonts w:ascii="Times New Roman" w:hAnsi="Times New Roman" w:cs="Times New Roman"/>
                <w:color w:val="000000"/>
                <w:sz w:val="24"/>
                <w:szCs w:val="24"/>
              </w:rPr>
              <w:t>Государство и инвестиции</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Теоретические основы разработки инвестиционной стратегии</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Инвестиционные стратегии</w:t>
            </w:r>
          </w:p>
          <w:p w:rsidR="009B25EF" w:rsidRDefault="002C67ED">
            <w:pPr>
              <w:spacing w:after="0" w:line="240" w:lineRule="auto"/>
              <w:jc w:val="both"/>
              <w:rPr>
                <w:sz w:val="24"/>
                <w:szCs w:val="24"/>
              </w:rPr>
            </w:pPr>
            <w:r>
              <w:rPr>
                <w:rFonts w:ascii="Times New Roman" w:hAnsi="Times New Roman" w:cs="Times New Roman"/>
                <w:color w:val="000000"/>
                <w:sz w:val="24"/>
                <w:szCs w:val="24"/>
              </w:rPr>
              <w:t>Этапы инвестиционных стратегий</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Инвестиционный процесс и инвестиционный рынок</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Инвестиционный процесс</w:t>
            </w:r>
          </w:p>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Инвестиционный рынок</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Оценка инвестиционного дохода и риска</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Инвестиционный доход</w:t>
            </w:r>
          </w:p>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Инвестиционный риск</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Сущность и содержание инвестиционного проекта.</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Инвестиционный проект</w:t>
            </w:r>
          </w:p>
          <w:p w:rsidR="009B25EF" w:rsidRDefault="002C67ED">
            <w:pPr>
              <w:spacing w:after="0" w:line="240" w:lineRule="auto"/>
              <w:jc w:val="both"/>
              <w:rPr>
                <w:sz w:val="24"/>
                <w:szCs w:val="24"/>
              </w:rPr>
            </w:pPr>
            <w:r>
              <w:rPr>
                <w:rFonts w:ascii="Times New Roman" w:hAnsi="Times New Roman" w:cs="Times New Roman"/>
                <w:color w:val="000000"/>
                <w:sz w:val="24"/>
                <w:szCs w:val="24"/>
              </w:rPr>
              <w:t>Бизнес-план проекта</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Оценка эффективности инвестиционного проекта</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Критерии оценки проекта</w:t>
            </w:r>
          </w:p>
          <w:p w:rsidR="009B25EF" w:rsidRDefault="002C67ED">
            <w:pPr>
              <w:spacing w:after="0" w:line="240" w:lineRule="auto"/>
              <w:jc w:val="both"/>
              <w:rPr>
                <w:sz w:val="24"/>
                <w:szCs w:val="24"/>
              </w:rPr>
            </w:pPr>
            <w:r>
              <w:rPr>
                <w:rFonts w:ascii="Times New Roman" w:hAnsi="Times New Roman" w:cs="Times New Roman"/>
                <w:color w:val="000000"/>
                <w:sz w:val="24"/>
                <w:szCs w:val="24"/>
              </w:rPr>
              <w:t>Социализация инвестиционных проектов</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Риски реализации инвестиционного проекта</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Страхование инвестиционных рисков</w:t>
            </w:r>
          </w:p>
          <w:p w:rsidR="009B25EF" w:rsidRDefault="002C67ED">
            <w:pPr>
              <w:spacing w:after="0" w:line="240" w:lineRule="auto"/>
              <w:jc w:val="both"/>
              <w:rPr>
                <w:sz w:val="24"/>
                <w:szCs w:val="24"/>
              </w:rPr>
            </w:pPr>
            <w:r>
              <w:rPr>
                <w:rFonts w:ascii="Times New Roman" w:hAnsi="Times New Roman" w:cs="Times New Roman"/>
                <w:color w:val="000000"/>
                <w:sz w:val="24"/>
                <w:szCs w:val="24"/>
              </w:rPr>
              <w:t>Эффективность реализации проекта</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Инвестиционный портфель и управление им</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Понятие инвестиционного портфеля</w:t>
            </w:r>
          </w:p>
          <w:p w:rsidR="009B25EF" w:rsidRDefault="002C67ED">
            <w:pPr>
              <w:spacing w:after="0" w:line="240" w:lineRule="auto"/>
              <w:jc w:val="both"/>
              <w:rPr>
                <w:sz w:val="24"/>
                <w:szCs w:val="24"/>
              </w:rPr>
            </w:pPr>
            <w:r>
              <w:rPr>
                <w:rFonts w:ascii="Times New Roman" w:hAnsi="Times New Roman" w:cs="Times New Roman"/>
                <w:color w:val="000000"/>
                <w:sz w:val="24"/>
                <w:szCs w:val="24"/>
              </w:rPr>
              <w:t>Управление инвестиционным портфелем</w:t>
            </w:r>
          </w:p>
        </w:tc>
      </w:tr>
      <w:tr w:rsidR="009B25EF">
        <w:trPr>
          <w:trHeight w:hRule="exact" w:val="277"/>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B25EF">
        <w:trPr>
          <w:trHeight w:hRule="exact" w:val="146"/>
        </w:trPr>
        <w:tc>
          <w:tcPr>
            <w:tcW w:w="9640" w:type="dxa"/>
          </w:tcPr>
          <w:p w:rsidR="009B25EF" w:rsidRDefault="009B25EF"/>
        </w:tc>
      </w:tr>
      <w:tr w:rsidR="009B25EF">
        <w:trPr>
          <w:trHeight w:hRule="exact" w:val="31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Понятие инвестиций и их структура</w:t>
            </w:r>
          </w:p>
        </w:tc>
      </w:tr>
      <w:tr w:rsidR="009B25EF">
        <w:trPr>
          <w:trHeight w:hRule="exact" w:val="21"/>
        </w:trPr>
        <w:tc>
          <w:tcPr>
            <w:tcW w:w="9640" w:type="dxa"/>
          </w:tcPr>
          <w:p w:rsidR="009B25EF" w:rsidRDefault="009B25EF"/>
        </w:tc>
      </w:tr>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Положения инвестиционного процесса</w:t>
            </w:r>
          </w:p>
          <w:p w:rsidR="009B25EF" w:rsidRDefault="002C67ED">
            <w:pPr>
              <w:spacing w:after="0" w:line="240" w:lineRule="auto"/>
              <w:rPr>
                <w:sz w:val="24"/>
                <w:szCs w:val="24"/>
              </w:rPr>
            </w:pPr>
            <w:r>
              <w:rPr>
                <w:rFonts w:ascii="Times New Roman" w:hAnsi="Times New Roman" w:cs="Times New Roman"/>
                <w:color w:val="000000"/>
                <w:sz w:val="24"/>
                <w:szCs w:val="24"/>
              </w:rPr>
              <w:t>Характер инвестиционной деятельности</w:t>
            </w:r>
          </w:p>
        </w:tc>
      </w:tr>
      <w:tr w:rsidR="009B25EF">
        <w:trPr>
          <w:trHeight w:hRule="exact" w:val="8"/>
        </w:trPr>
        <w:tc>
          <w:tcPr>
            <w:tcW w:w="9640" w:type="dxa"/>
          </w:tcPr>
          <w:p w:rsidR="009B25EF" w:rsidRDefault="009B25EF"/>
        </w:tc>
      </w:tr>
      <w:tr w:rsidR="009B25EF">
        <w:trPr>
          <w:trHeight w:hRule="exact" w:val="314"/>
        </w:trPr>
        <w:tc>
          <w:tcPr>
            <w:tcW w:w="9654" w:type="dxa"/>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Роль государства в обеспечении инвестиций</w:t>
            </w:r>
          </w:p>
        </w:tc>
      </w:tr>
      <w:tr w:rsidR="009B25EF">
        <w:trPr>
          <w:trHeight w:hRule="exact" w:val="21"/>
        </w:trPr>
        <w:tc>
          <w:tcPr>
            <w:tcW w:w="9640" w:type="dxa"/>
          </w:tcPr>
          <w:p w:rsidR="009B25EF" w:rsidRDefault="009B25EF"/>
        </w:tc>
      </w:tr>
      <w:tr w:rsidR="009B25EF">
        <w:trPr>
          <w:trHeight w:hRule="exact" w:val="57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Государственный инвестиционный проект</w:t>
            </w:r>
          </w:p>
          <w:p w:rsidR="009B25EF" w:rsidRDefault="002C67ED">
            <w:pPr>
              <w:spacing w:after="0" w:line="240" w:lineRule="auto"/>
              <w:rPr>
                <w:sz w:val="24"/>
                <w:szCs w:val="24"/>
              </w:rPr>
            </w:pPr>
            <w:r>
              <w:rPr>
                <w:rFonts w:ascii="Times New Roman" w:hAnsi="Times New Roman" w:cs="Times New Roman"/>
                <w:color w:val="000000"/>
                <w:sz w:val="24"/>
                <w:szCs w:val="24"/>
              </w:rPr>
              <w:t>Источники инвестиций</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B25EF">
        <w:trPr>
          <w:trHeight w:hRule="exact" w:val="10"/>
        </w:trPr>
        <w:tc>
          <w:tcPr>
            <w:tcW w:w="9654" w:type="dxa"/>
            <w:gridSpan w:val="2"/>
            <w:shd w:val="clear" w:color="000000" w:fill="FFFFFF"/>
            <w:tcMar>
              <w:left w:w="34" w:type="dxa"/>
              <w:right w:w="34" w:type="dxa"/>
            </w:tcMar>
          </w:tcPr>
          <w:p w:rsidR="009B25EF" w:rsidRDefault="009B25EF"/>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Стратегические основы инвестирования</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Стратегия инвестиций и ее фазы</w:t>
            </w:r>
          </w:p>
          <w:p w:rsidR="009B25EF" w:rsidRDefault="002C67ED">
            <w:pPr>
              <w:spacing w:after="0" w:line="240" w:lineRule="auto"/>
              <w:rPr>
                <w:sz w:val="24"/>
                <w:szCs w:val="24"/>
              </w:rPr>
            </w:pPr>
            <w:r>
              <w:rPr>
                <w:rFonts w:ascii="Times New Roman" w:hAnsi="Times New Roman" w:cs="Times New Roman"/>
                <w:color w:val="000000"/>
                <w:sz w:val="24"/>
                <w:szCs w:val="24"/>
              </w:rPr>
              <w:t>Оценка инвестиционных проектов</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Индикаторы инвестиционного рынка</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Особенности современного инвестиционного рынка</w:t>
            </w:r>
          </w:p>
          <w:p w:rsidR="009B25EF" w:rsidRDefault="002C67ED">
            <w:pPr>
              <w:spacing w:after="0" w:line="240" w:lineRule="auto"/>
              <w:rPr>
                <w:sz w:val="24"/>
                <w:szCs w:val="24"/>
              </w:rPr>
            </w:pPr>
            <w:r>
              <w:rPr>
                <w:rFonts w:ascii="Times New Roman" w:hAnsi="Times New Roman" w:cs="Times New Roman"/>
                <w:color w:val="000000"/>
                <w:sz w:val="24"/>
                <w:szCs w:val="24"/>
              </w:rPr>
              <w:t>Инвестиционный продукт</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Виды инвестиционных рисков</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Чистая приведенная стоимость</w:t>
            </w:r>
          </w:p>
          <w:p w:rsidR="009B25EF" w:rsidRDefault="002C67ED">
            <w:pPr>
              <w:spacing w:after="0" w:line="240" w:lineRule="auto"/>
              <w:rPr>
                <w:sz w:val="24"/>
                <w:szCs w:val="24"/>
              </w:rPr>
            </w:pPr>
            <w:r>
              <w:rPr>
                <w:rFonts w:ascii="Times New Roman" w:hAnsi="Times New Roman" w:cs="Times New Roman"/>
                <w:color w:val="000000"/>
                <w:sz w:val="24"/>
                <w:szCs w:val="24"/>
              </w:rPr>
              <w:t>Инвестиционный поток</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Бизнес-план инвестиционного проекта</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Индекс рентабельности</w:t>
            </w:r>
          </w:p>
          <w:p w:rsidR="009B25EF" w:rsidRDefault="002C67ED">
            <w:pPr>
              <w:spacing w:after="0" w:line="240" w:lineRule="auto"/>
              <w:rPr>
                <w:sz w:val="24"/>
                <w:szCs w:val="24"/>
              </w:rPr>
            </w:pPr>
            <w:r>
              <w:rPr>
                <w:rFonts w:ascii="Times New Roman" w:hAnsi="Times New Roman" w:cs="Times New Roman"/>
                <w:color w:val="000000"/>
                <w:sz w:val="24"/>
                <w:szCs w:val="24"/>
              </w:rPr>
              <w:t>Норма доходности</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Критерии эффективности инвестиционных проектов</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Модель Марковица</w:t>
            </w:r>
          </w:p>
          <w:p w:rsidR="009B25EF" w:rsidRDefault="002C67ED">
            <w:pPr>
              <w:spacing w:after="0" w:line="240" w:lineRule="auto"/>
              <w:rPr>
                <w:sz w:val="24"/>
                <w:szCs w:val="24"/>
              </w:rPr>
            </w:pPr>
            <w:r>
              <w:rPr>
                <w:rFonts w:ascii="Times New Roman" w:hAnsi="Times New Roman" w:cs="Times New Roman"/>
                <w:color w:val="000000"/>
                <w:sz w:val="24"/>
                <w:szCs w:val="24"/>
              </w:rPr>
              <w:t>Модель Шарпа</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Страхование инвестиционных рисков</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Количественная и качественная оценка рисков</w:t>
            </w:r>
          </w:p>
          <w:p w:rsidR="009B25EF" w:rsidRDefault="002C67ED">
            <w:pPr>
              <w:spacing w:after="0" w:line="240" w:lineRule="auto"/>
              <w:rPr>
                <w:sz w:val="24"/>
                <w:szCs w:val="24"/>
              </w:rPr>
            </w:pPr>
            <w:r>
              <w:rPr>
                <w:rFonts w:ascii="Times New Roman" w:hAnsi="Times New Roman" w:cs="Times New Roman"/>
                <w:color w:val="000000"/>
                <w:sz w:val="24"/>
                <w:szCs w:val="24"/>
              </w:rPr>
              <w:t>Модели снижения рисков</w:t>
            </w:r>
          </w:p>
        </w:tc>
      </w:tr>
      <w:tr w:rsidR="009B25EF">
        <w:trPr>
          <w:trHeight w:hRule="exact" w:val="8"/>
        </w:trPr>
        <w:tc>
          <w:tcPr>
            <w:tcW w:w="285" w:type="dxa"/>
          </w:tcPr>
          <w:p w:rsidR="009B25EF" w:rsidRDefault="009B25EF"/>
        </w:tc>
        <w:tc>
          <w:tcPr>
            <w:tcW w:w="9356" w:type="dxa"/>
          </w:tcPr>
          <w:p w:rsidR="009B25EF" w:rsidRDefault="009B25EF"/>
        </w:tc>
      </w:tr>
      <w:tr w:rsidR="009B25EF">
        <w:trPr>
          <w:trHeight w:hRule="exact" w:val="314"/>
        </w:trPr>
        <w:tc>
          <w:tcPr>
            <w:tcW w:w="9654" w:type="dxa"/>
            <w:gridSpan w:val="2"/>
            <w:shd w:val="clear" w:color="000000" w:fill="FFFFFF"/>
            <w:tcMar>
              <w:left w:w="34" w:type="dxa"/>
              <w:right w:w="34" w:type="dxa"/>
            </w:tcMar>
          </w:tcPr>
          <w:p w:rsidR="009B25EF" w:rsidRDefault="002C67ED">
            <w:pPr>
              <w:spacing w:after="0" w:line="240" w:lineRule="auto"/>
              <w:jc w:val="center"/>
              <w:rPr>
                <w:sz w:val="24"/>
                <w:szCs w:val="24"/>
              </w:rPr>
            </w:pPr>
            <w:r>
              <w:rPr>
                <w:rFonts w:ascii="Times New Roman" w:hAnsi="Times New Roman" w:cs="Times New Roman"/>
                <w:b/>
                <w:color w:val="000000"/>
                <w:sz w:val="24"/>
                <w:szCs w:val="24"/>
              </w:rPr>
              <w:t>Портфельные инвестиции</w:t>
            </w:r>
          </w:p>
        </w:tc>
      </w:tr>
      <w:tr w:rsidR="009B25EF">
        <w:trPr>
          <w:trHeight w:hRule="exact" w:val="21"/>
        </w:trPr>
        <w:tc>
          <w:tcPr>
            <w:tcW w:w="285" w:type="dxa"/>
          </w:tcPr>
          <w:p w:rsidR="009B25EF" w:rsidRDefault="009B25EF"/>
        </w:tc>
        <w:tc>
          <w:tcPr>
            <w:tcW w:w="9356" w:type="dxa"/>
          </w:tcPr>
          <w:p w:rsidR="009B25EF" w:rsidRDefault="009B25EF"/>
        </w:tc>
      </w:tr>
      <w:tr w:rsidR="009B25EF">
        <w:trPr>
          <w:trHeight w:hRule="exact" w:val="58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Цена отчуждения портфеля</w:t>
            </w:r>
          </w:p>
          <w:p w:rsidR="009B25EF" w:rsidRDefault="002C67ED">
            <w:pPr>
              <w:spacing w:after="0" w:line="240" w:lineRule="auto"/>
              <w:rPr>
                <w:sz w:val="24"/>
                <w:szCs w:val="24"/>
              </w:rPr>
            </w:pPr>
            <w:r>
              <w:rPr>
                <w:rFonts w:ascii="Times New Roman" w:hAnsi="Times New Roman" w:cs="Times New Roman"/>
                <w:color w:val="000000"/>
                <w:sz w:val="24"/>
                <w:szCs w:val="24"/>
              </w:rPr>
              <w:t>Портфель и дюрация</w:t>
            </w:r>
          </w:p>
        </w:tc>
      </w:tr>
      <w:tr w:rsidR="009B25EF">
        <w:trPr>
          <w:trHeight w:hRule="exact" w:val="855"/>
        </w:trPr>
        <w:tc>
          <w:tcPr>
            <w:tcW w:w="9654" w:type="dxa"/>
            <w:gridSpan w:val="2"/>
            <w:shd w:val="clear" w:color="000000" w:fill="FFFFFF"/>
            <w:tcMar>
              <w:left w:w="34" w:type="dxa"/>
              <w:right w:w="34" w:type="dxa"/>
            </w:tcMar>
          </w:tcPr>
          <w:p w:rsidR="009B25EF" w:rsidRDefault="009B25EF">
            <w:pPr>
              <w:spacing w:after="0" w:line="240" w:lineRule="auto"/>
              <w:rPr>
                <w:sz w:val="24"/>
                <w:szCs w:val="24"/>
              </w:rPr>
            </w:pPr>
          </w:p>
          <w:p w:rsidR="009B25EF" w:rsidRDefault="002C67E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B25EF">
        <w:trPr>
          <w:trHeight w:hRule="exact" w:val="4912"/>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2021.</w:t>
            </w:r>
          </w:p>
          <w:p w:rsidR="009B25EF" w:rsidRDefault="002C67E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B25EF" w:rsidRDefault="002C67E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EF" w:rsidRDefault="002C67E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B25EF">
        <w:trPr>
          <w:trHeight w:hRule="exact" w:val="138"/>
        </w:trPr>
        <w:tc>
          <w:tcPr>
            <w:tcW w:w="285" w:type="dxa"/>
          </w:tcPr>
          <w:p w:rsidR="009B25EF" w:rsidRDefault="009B25EF"/>
        </w:tc>
        <w:tc>
          <w:tcPr>
            <w:tcW w:w="9356" w:type="dxa"/>
          </w:tcPr>
          <w:p w:rsidR="009B25EF" w:rsidRDefault="009B25EF"/>
        </w:tc>
      </w:tr>
      <w:tr w:rsidR="009B25EF">
        <w:trPr>
          <w:trHeight w:hRule="exact" w:val="855"/>
        </w:trPr>
        <w:tc>
          <w:tcPr>
            <w:tcW w:w="9654" w:type="dxa"/>
            <w:gridSpan w:val="2"/>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B25EF" w:rsidRDefault="002C67ED">
            <w:pPr>
              <w:spacing w:after="0" w:line="240" w:lineRule="auto"/>
              <w:rPr>
                <w:sz w:val="24"/>
                <w:szCs w:val="24"/>
              </w:rPr>
            </w:pPr>
            <w:r>
              <w:rPr>
                <w:rFonts w:ascii="Times New Roman" w:hAnsi="Times New Roman" w:cs="Times New Roman"/>
                <w:b/>
                <w:color w:val="000000"/>
                <w:sz w:val="24"/>
                <w:szCs w:val="24"/>
              </w:rPr>
              <w:t>Основная:</w:t>
            </w:r>
          </w:p>
        </w:tc>
      </w:tr>
      <w:tr w:rsidR="009B25EF">
        <w:trPr>
          <w:trHeight w:hRule="exact" w:val="555"/>
        </w:trPr>
        <w:tc>
          <w:tcPr>
            <w:tcW w:w="9654" w:type="dxa"/>
            <w:gridSpan w:val="2"/>
            <w:shd w:val="clear" w:color="000000" w:fill="FFFFFF"/>
            <w:tcMar>
              <w:left w:w="34" w:type="dxa"/>
              <w:right w:w="34" w:type="dxa"/>
            </w:tcMar>
          </w:tcPr>
          <w:p w:rsidR="009B25EF" w:rsidRDefault="002C67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648D2">
                <w:rPr>
                  <w:rStyle w:val="a3"/>
                </w:rPr>
                <w:t>https://urait.ru/bcode/450229</w:t>
              </w:r>
            </w:hyperlink>
            <w:r>
              <w:t xml:space="preserve"> </w:t>
            </w:r>
          </w:p>
        </w:tc>
      </w:tr>
      <w:tr w:rsidR="009B25EF">
        <w:trPr>
          <w:trHeight w:hRule="exact" w:val="826"/>
        </w:trPr>
        <w:tc>
          <w:tcPr>
            <w:tcW w:w="9654" w:type="dxa"/>
            <w:gridSpan w:val="2"/>
            <w:shd w:val="clear" w:color="000000" w:fill="FFFFFF"/>
            <w:tcMar>
              <w:left w:w="34" w:type="dxa"/>
              <w:right w:w="34" w:type="dxa"/>
            </w:tcMar>
          </w:tcPr>
          <w:p w:rsidR="009B25EF" w:rsidRDefault="002C67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инвестициями:</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инвестиционные</w:t>
            </w:r>
            <w:r>
              <w:t xml:space="preserve"> </w:t>
            </w:r>
            <w:r>
              <w:rPr>
                <w:rFonts w:ascii="Times New Roman" w:hAnsi="Times New Roman" w:cs="Times New Roman"/>
                <w:color w:val="000000"/>
                <w:sz w:val="24"/>
                <w:szCs w:val="24"/>
              </w:rPr>
              <w:t>риски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реальном</w:t>
            </w:r>
            <w:r>
              <w:t xml:space="preserve"> </w:t>
            </w:r>
            <w:r>
              <w:rPr>
                <w:rFonts w:ascii="Times New Roman" w:hAnsi="Times New Roman" w:cs="Times New Roman"/>
                <w:color w:val="000000"/>
                <w:sz w:val="24"/>
                <w:szCs w:val="24"/>
              </w:rPr>
              <w:t>секторе</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978-5-534-12441-5.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648D2">
                <w:rPr>
                  <w:rStyle w:val="a3"/>
                </w:rPr>
                <w:t>https://urait.ru/bcode/458850</w:t>
              </w:r>
            </w:hyperlink>
            <w:r>
              <w:t xml:space="preserve"> </w:t>
            </w:r>
          </w:p>
        </w:tc>
      </w:tr>
      <w:tr w:rsidR="009B25EF">
        <w:trPr>
          <w:trHeight w:hRule="exact" w:val="277"/>
        </w:trPr>
        <w:tc>
          <w:tcPr>
            <w:tcW w:w="285" w:type="dxa"/>
          </w:tcPr>
          <w:p w:rsidR="009B25EF" w:rsidRDefault="009B25EF"/>
        </w:tc>
        <w:tc>
          <w:tcPr>
            <w:tcW w:w="9370"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i/>
                <w:color w:val="000000"/>
                <w:sz w:val="24"/>
                <w:szCs w:val="24"/>
              </w:rPr>
              <w:t>Дополнительная:</w:t>
            </w:r>
          </w:p>
        </w:tc>
      </w:tr>
      <w:tr w:rsidR="009B25EF">
        <w:trPr>
          <w:trHeight w:hRule="exact" w:val="26"/>
        </w:trPr>
        <w:tc>
          <w:tcPr>
            <w:tcW w:w="9654" w:type="dxa"/>
            <w:gridSpan w:val="2"/>
            <w:vMerge w:val="restart"/>
            <w:shd w:val="clear" w:color="000000" w:fill="FFFFFF"/>
            <w:tcMar>
              <w:left w:w="34" w:type="dxa"/>
              <w:right w:w="34" w:type="dxa"/>
            </w:tcMar>
          </w:tcPr>
          <w:p w:rsidR="009B25EF" w:rsidRDefault="002C67E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Инвестиционный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p>
        </w:tc>
      </w:tr>
      <w:tr w:rsidR="009B25EF">
        <w:trPr>
          <w:trHeight w:hRule="exact" w:val="429"/>
        </w:trPr>
        <w:tc>
          <w:tcPr>
            <w:tcW w:w="9654" w:type="dxa"/>
            <w:gridSpan w:val="2"/>
            <w:vMerge/>
            <w:shd w:val="clear" w:color="000000" w:fill="FFFFFF"/>
            <w:tcMar>
              <w:left w:w="34" w:type="dxa"/>
              <w:right w:w="34" w:type="dxa"/>
            </w:tcMar>
          </w:tcPr>
          <w:p w:rsidR="009B25EF" w:rsidRDefault="009B25EF"/>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28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lastRenderedPageBreak/>
              <w:t>ISBN:</w:t>
            </w:r>
            <w:r>
              <w:t xml:space="preserve"> </w:t>
            </w:r>
            <w:r>
              <w:rPr>
                <w:rFonts w:ascii="Times New Roman" w:hAnsi="Times New Roman" w:cs="Times New Roman"/>
                <w:color w:val="000000"/>
                <w:sz w:val="24"/>
                <w:szCs w:val="24"/>
              </w:rPr>
              <w:t>978-5-534-10389-2.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648D2">
                <w:rPr>
                  <w:rStyle w:val="a3"/>
                </w:rPr>
                <w:t>https://urait.ru/bcode/452513</w:t>
              </w:r>
            </w:hyperlink>
            <w:r>
              <w:t xml:space="preserve"> </w:t>
            </w:r>
          </w:p>
        </w:tc>
      </w:tr>
      <w:tr w:rsidR="009B25EF">
        <w:trPr>
          <w:trHeight w:hRule="exact" w:val="555"/>
        </w:trPr>
        <w:tc>
          <w:tcPr>
            <w:tcW w:w="9654" w:type="dxa"/>
            <w:shd w:val="clear" w:color="000000" w:fill="FFFFFF"/>
            <w:tcMar>
              <w:left w:w="34" w:type="dxa"/>
              <w:right w:w="34" w:type="dxa"/>
            </w:tcMar>
          </w:tcPr>
          <w:p w:rsidR="009B25EF" w:rsidRDefault="002C67E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Инвестиции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Аскинадзи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Максимова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978-5-534-13634-0.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648D2">
                <w:rPr>
                  <w:rStyle w:val="a3"/>
                </w:rPr>
                <w:t>https://urait.ru/bcode/466270</w:t>
              </w:r>
            </w:hyperlink>
            <w:r>
              <w:t xml:space="preserve"> </w:t>
            </w:r>
          </w:p>
        </w:tc>
      </w:tr>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B25EF">
        <w:trPr>
          <w:trHeight w:hRule="exact" w:val="9751"/>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648D2">
                <w:rPr>
                  <w:rStyle w:val="a3"/>
                  <w:rFonts w:ascii="Times New Roman" w:hAnsi="Times New Roman" w:cs="Times New Roman"/>
                  <w:sz w:val="24"/>
                  <w:szCs w:val="24"/>
                </w:rPr>
                <w:t>http://www.iprbookshop.ru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648D2">
                <w:rPr>
                  <w:rStyle w:val="a3"/>
                  <w:rFonts w:ascii="Times New Roman" w:hAnsi="Times New Roman" w:cs="Times New Roman"/>
                  <w:sz w:val="24"/>
                  <w:szCs w:val="24"/>
                </w:rPr>
                <w:t>http://biblio-online.ru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648D2">
                <w:rPr>
                  <w:rStyle w:val="a3"/>
                  <w:rFonts w:ascii="Times New Roman" w:hAnsi="Times New Roman" w:cs="Times New Roman"/>
                  <w:sz w:val="24"/>
                  <w:szCs w:val="24"/>
                </w:rPr>
                <w:t>http://window.edu.ru/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648D2">
                <w:rPr>
                  <w:rStyle w:val="a3"/>
                  <w:rFonts w:ascii="Times New Roman" w:hAnsi="Times New Roman" w:cs="Times New Roman"/>
                  <w:sz w:val="24"/>
                  <w:szCs w:val="24"/>
                </w:rPr>
                <w:t>http://elibrary.ru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648D2">
                <w:rPr>
                  <w:rStyle w:val="a3"/>
                  <w:rFonts w:ascii="Times New Roman" w:hAnsi="Times New Roman" w:cs="Times New Roman"/>
                  <w:sz w:val="24"/>
                  <w:szCs w:val="24"/>
                </w:rPr>
                <w:t>http://www.sciencedirect.com</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648D2">
                <w:rPr>
                  <w:rStyle w:val="a3"/>
                  <w:rFonts w:ascii="Times New Roman" w:hAnsi="Times New Roman" w:cs="Times New Roman"/>
                  <w:sz w:val="24"/>
                  <w:szCs w:val="24"/>
                </w:rPr>
                <w:t>http://journals.cambridge.org</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648D2">
                <w:rPr>
                  <w:rStyle w:val="a3"/>
                  <w:rFonts w:ascii="Times New Roman" w:hAnsi="Times New Roman" w:cs="Times New Roman"/>
                  <w:sz w:val="24"/>
                  <w:szCs w:val="24"/>
                </w:rPr>
                <w:t>http://www.oxfordjoumals.org</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648D2">
                <w:rPr>
                  <w:rStyle w:val="a3"/>
                  <w:rFonts w:ascii="Times New Roman" w:hAnsi="Times New Roman" w:cs="Times New Roman"/>
                  <w:sz w:val="24"/>
                  <w:szCs w:val="24"/>
                </w:rPr>
                <w:t>http://dic.academic.ru/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648D2">
                <w:rPr>
                  <w:rStyle w:val="a3"/>
                  <w:rFonts w:ascii="Times New Roman" w:hAnsi="Times New Roman" w:cs="Times New Roman"/>
                  <w:sz w:val="24"/>
                  <w:szCs w:val="24"/>
                </w:rPr>
                <w:t>http://www.benran.ru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648D2">
                <w:rPr>
                  <w:rStyle w:val="a3"/>
                  <w:rFonts w:ascii="Times New Roman" w:hAnsi="Times New Roman" w:cs="Times New Roman"/>
                  <w:sz w:val="24"/>
                  <w:szCs w:val="24"/>
                </w:rPr>
                <w:t>http://www.gks.ru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648D2">
                <w:rPr>
                  <w:rStyle w:val="a3"/>
                  <w:rFonts w:ascii="Times New Roman" w:hAnsi="Times New Roman" w:cs="Times New Roman"/>
                  <w:sz w:val="24"/>
                  <w:szCs w:val="24"/>
                </w:rPr>
                <w:t>http://diss.rsl.ru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648D2">
                <w:rPr>
                  <w:rStyle w:val="a3"/>
                  <w:rFonts w:ascii="Times New Roman" w:hAnsi="Times New Roman" w:cs="Times New Roman"/>
                  <w:sz w:val="24"/>
                  <w:szCs w:val="24"/>
                </w:rPr>
                <w:t>http://ru.spinform.ru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B25EF" w:rsidRDefault="002C67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B25EF">
        <w:trPr>
          <w:trHeight w:hRule="exact" w:val="31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B25EF">
        <w:trPr>
          <w:trHeight w:hRule="exact" w:val="3900"/>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B25EF" w:rsidRDefault="002C67E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9915"/>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B25EF" w:rsidRDefault="002C67E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B25EF" w:rsidRDefault="002C67E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B25EF" w:rsidRDefault="002C67E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B25EF" w:rsidRDefault="002C67E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B25EF" w:rsidRDefault="002C67E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B25EF" w:rsidRDefault="002C67E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B25EF" w:rsidRDefault="002C67E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B25EF" w:rsidRDefault="002C67E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B25EF">
        <w:trPr>
          <w:trHeight w:hRule="exact" w:val="85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B25EF">
        <w:trPr>
          <w:trHeight w:hRule="exact" w:val="2989"/>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B25EF" w:rsidRDefault="009B25EF">
            <w:pPr>
              <w:spacing w:after="0" w:line="240" w:lineRule="auto"/>
              <w:jc w:val="both"/>
              <w:rPr>
                <w:sz w:val="24"/>
                <w:szCs w:val="24"/>
              </w:rPr>
            </w:pPr>
          </w:p>
          <w:p w:rsidR="009B25EF" w:rsidRDefault="002C67E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B25EF" w:rsidRDefault="002C67E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B25EF" w:rsidRDefault="002C67E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B25EF" w:rsidRDefault="002C67E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B25EF" w:rsidRDefault="002C67E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B25EF" w:rsidRDefault="002C67E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B25EF" w:rsidRDefault="009B25EF">
            <w:pPr>
              <w:spacing w:after="0" w:line="240" w:lineRule="auto"/>
              <w:jc w:val="both"/>
              <w:rPr>
                <w:sz w:val="24"/>
                <w:szCs w:val="24"/>
              </w:rPr>
            </w:pPr>
          </w:p>
          <w:p w:rsidR="009B25EF" w:rsidRDefault="002C67E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4648D2">
                <w:rPr>
                  <w:rStyle w:val="a3"/>
                  <w:rFonts w:ascii="Times New Roman" w:hAnsi="Times New Roman" w:cs="Times New Roman"/>
                  <w:sz w:val="24"/>
                  <w:szCs w:val="24"/>
                </w:rPr>
                <w:t>http://www.president.kremlin.ru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4648D2">
                <w:rPr>
                  <w:rStyle w:val="a3"/>
                  <w:rFonts w:ascii="Times New Roman" w:hAnsi="Times New Roman" w:cs="Times New Roman"/>
                  <w:sz w:val="24"/>
                  <w:szCs w:val="24"/>
                </w:rPr>
                <w:t>http://www.ict.edu.ru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9B25EF" w:rsidRDefault="002C67E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4648D2">
                <w:rPr>
                  <w:rStyle w:val="a3"/>
                  <w:rFonts w:ascii="Times New Roman" w:hAnsi="Times New Roman" w:cs="Times New Roman"/>
                  <w:sz w:val="24"/>
                  <w:szCs w:val="24"/>
                </w:rPr>
                <w:t>http://fgosvo.ru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4648D2">
                <w:rPr>
                  <w:rStyle w:val="a3"/>
                  <w:rFonts w:ascii="Times New Roman" w:hAnsi="Times New Roman" w:cs="Times New Roman"/>
                  <w:sz w:val="24"/>
                  <w:szCs w:val="24"/>
                </w:rPr>
                <w:t>http://pravo.gov.ru</w:t>
              </w:r>
            </w:hyperlink>
          </w:p>
        </w:tc>
      </w:tr>
      <w:tr w:rsidR="009B25EF">
        <w:trPr>
          <w:trHeight w:hRule="exact" w:val="30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4648D2">
                <w:rPr>
                  <w:rStyle w:val="a3"/>
                  <w:rFonts w:ascii="Times New Roman" w:hAnsi="Times New Roman" w:cs="Times New Roman"/>
                  <w:sz w:val="24"/>
                  <w:szCs w:val="24"/>
                </w:rPr>
                <w:t>http://edu.garant.ru/omga/</w:t>
              </w:r>
            </w:hyperlink>
          </w:p>
        </w:tc>
      </w:tr>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4648D2">
                <w:rPr>
                  <w:rStyle w:val="a3"/>
                  <w:rFonts w:ascii="Times New Roman" w:hAnsi="Times New Roman" w:cs="Times New Roman"/>
                  <w:sz w:val="24"/>
                  <w:szCs w:val="24"/>
                </w:rPr>
                <w:t>http://www.consultant.ru/edu/student/study/</w:t>
              </w:r>
            </w:hyperlink>
          </w:p>
        </w:tc>
      </w:tr>
      <w:tr w:rsidR="009B25EF">
        <w:trPr>
          <w:trHeight w:hRule="exact" w:val="314"/>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B25EF">
        <w:trPr>
          <w:trHeight w:hRule="exact" w:val="7587"/>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B25EF" w:rsidRDefault="002C67E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B25EF" w:rsidRDefault="002C67E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B25EF" w:rsidRDefault="002C67E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B25EF" w:rsidRDefault="002C67E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B25EF" w:rsidRDefault="002C67E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B25EF" w:rsidRDefault="002C67E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B25EF" w:rsidRDefault="002C67E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B25EF" w:rsidRDefault="002C67E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B25EF" w:rsidRDefault="002C67E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B25EF" w:rsidRDefault="002C67E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B25EF" w:rsidRDefault="002C67E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B25EF" w:rsidRDefault="002C67E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B25EF" w:rsidRDefault="002C67E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B25EF">
        <w:trPr>
          <w:trHeight w:hRule="exact" w:val="277"/>
        </w:trPr>
        <w:tc>
          <w:tcPr>
            <w:tcW w:w="9640" w:type="dxa"/>
          </w:tcPr>
          <w:p w:rsidR="009B25EF" w:rsidRDefault="009B25EF"/>
        </w:tc>
      </w:tr>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B25EF">
        <w:trPr>
          <w:trHeight w:hRule="exact" w:val="4847"/>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B25EF" w:rsidRDefault="002C67E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B25EF" w:rsidRDefault="002C67E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9480"/>
        </w:trPr>
        <w:tc>
          <w:tcPr>
            <w:tcW w:w="9654" w:type="dxa"/>
            <w:shd w:val="clear" w:color="000000" w:fill="FFFFFF"/>
            <w:tcMar>
              <w:left w:w="34" w:type="dxa"/>
              <w:right w:w="34" w:type="dxa"/>
            </w:tcMar>
          </w:tcPr>
          <w:p w:rsidR="009B25EF" w:rsidRDefault="002C67ED">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9B25EF" w:rsidRDefault="002C67E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B25EF" w:rsidRDefault="002C67E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B25EF" w:rsidRDefault="002C67E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B25EF">
        <w:trPr>
          <w:trHeight w:hRule="exact" w:val="2478"/>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9B25EF">
        <w:trPr>
          <w:trHeight w:hRule="exact" w:val="3432"/>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w:t>
            </w:r>
          </w:p>
        </w:tc>
      </w:tr>
    </w:tbl>
    <w:p w:rsidR="009B25EF" w:rsidRDefault="002C67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B25EF">
        <w:trPr>
          <w:trHeight w:hRule="exact" w:val="585"/>
        </w:trPr>
        <w:tc>
          <w:tcPr>
            <w:tcW w:w="9654" w:type="dxa"/>
            <w:shd w:val="clear" w:color="000000" w:fill="FFFFFF"/>
            <w:tcMar>
              <w:left w:w="34" w:type="dxa"/>
              <w:right w:w="34" w:type="dxa"/>
            </w:tcMar>
          </w:tcPr>
          <w:p w:rsidR="009B25EF" w:rsidRDefault="002C67ED">
            <w:pPr>
              <w:spacing w:after="0" w:line="240" w:lineRule="auto"/>
              <w:rPr>
                <w:sz w:val="24"/>
                <w:szCs w:val="24"/>
              </w:rPr>
            </w:pPr>
            <w:r>
              <w:rPr>
                <w:rFonts w:ascii="Times New Roman" w:hAnsi="Times New Roman" w:cs="Times New Roman"/>
                <w:color w:val="000000"/>
                <w:sz w:val="24"/>
                <w:szCs w:val="24"/>
              </w:rPr>
              <w:lastRenderedPageBreak/>
              <w:t>обучения в высших и средних учебных заведениях</w:t>
            </w:r>
          </w:p>
        </w:tc>
      </w:tr>
    </w:tbl>
    <w:p w:rsidR="009B25EF" w:rsidRDefault="009B25EF"/>
    <w:sectPr w:rsidR="009B25E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67ED"/>
    <w:rsid w:val="004648D2"/>
    <w:rsid w:val="009B25EF"/>
    <w:rsid w:val="00D31453"/>
    <w:rsid w:val="00E11FE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26C8AC-74B7-46D8-BF4C-969012C2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7ED"/>
    <w:rPr>
      <w:color w:val="0563C1" w:themeColor="hyperlink"/>
      <w:u w:val="single"/>
    </w:rPr>
  </w:style>
  <w:style w:type="character" w:styleId="a4">
    <w:name w:val="Unresolved Mention"/>
    <w:basedOn w:val="a0"/>
    <w:uiPriority w:val="99"/>
    <w:semiHidden/>
    <w:unhideWhenUsed/>
    <w:rsid w:val="00464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662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51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8850"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2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5874</Words>
  <Characters>33483</Characters>
  <Application>Microsoft Office Word</Application>
  <DocSecurity>0</DocSecurity>
  <Lines>279</Lines>
  <Paragraphs>78</Paragraphs>
  <ScaleCrop>false</ScaleCrop>
  <Company>diakov.net</Company>
  <LinksUpToDate>false</LinksUpToDate>
  <CharactersWithSpaces>39279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2021-2022_ФГОС3++2021_Бак-ОФО-Э(БАиОСИ)(21)_plx_Инвестиции и управление инвестиционным портфелем</dc:title>
  <dc:creator>FastReport.NET</dc:creator>
  <cp:lastModifiedBy>Mark Bernstorf</cp:lastModifiedBy>
  <cp:revision>4</cp:revision>
  <dcterms:created xsi:type="dcterms:W3CDTF">2021-09-19T17:39:00Z</dcterms:created>
  <dcterms:modified xsi:type="dcterms:W3CDTF">2022-11-12T09:56:00Z</dcterms:modified>
</cp:coreProperties>
</file>